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C" w:rsidRPr="00F65F88" w:rsidRDefault="00AD4A8C" w:rsidP="009F3E25">
      <w:pPr>
        <w:shd w:val="clear" w:color="auto" w:fill="FFFFFF"/>
        <w:spacing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caps/>
          <w:color w:val="232121"/>
          <w:sz w:val="26"/>
          <w:szCs w:val="26"/>
          <w:lang w:eastAsia="pl-PL"/>
        </w:rPr>
      </w:pPr>
      <w:r w:rsidRPr="00F65F88">
        <w:rPr>
          <w:rFonts w:ascii="Calibri" w:eastAsia="Times New Roman" w:hAnsi="Calibri" w:cs="Calibri"/>
          <w:b/>
          <w:bCs/>
          <w:caps/>
          <w:color w:val="232121"/>
          <w:sz w:val="26"/>
          <w:szCs w:val="26"/>
          <w:lang w:eastAsia="pl-PL"/>
        </w:rPr>
        <w:t xml:space="preserve">NABÓR PRZEDSIĘWZIĘĆ REWITALIZACYJNYCH DO GMINNEGO PROGRAMU REWITALIZACJI </w:t>
      </w:r>
      <w:r w:rsidR="00CA1678" w:rsidRPr="00F65F88">
        <w:rPr>
          <w:rFonts w:ascii="Calibri" w:eastAsia="Times New Roman" w:hAnsi="Calibri" w:cs="Calibri"/>
          <w:b/>
          <w:bCs/>
          <w:caps/>
          <w:color w:val="232121"/>
          <w:sz w:val="26"/>
          <w:szCs w:val="26"/>
          <w:lang w:eastAsia="pl-PL"/>
        </w:rPr>
        <w:t xml:space="preserve"> </w:t>
      </w:r>
      <w:r w:rsidR="00070F77" w:rsidRPr="00F65F88">
        <w:rPr>
          <w:rFonts w:ascii="Calibri" w:eastAsia="Times New Roman" w:hAnsi="Calibri" w:cs="Calibri"/>
          <w:b/>
          <w:bCs/>
          <w:caps/>
          <w:color w:val="232121"/>
          <w:sz w:val="26"/>
          <w:szCs w:val="26"/>
          <w:lang w:eastAsia="pl-PL"/>
        </w:rPr>
        <w:t xml:space="preserve">MIASTA STOCZEK ŁUKWSKI </w:t>
      </w:r>
      <w:r w:rsidR="00706062" w:rsidRPr="00F65F88">
        <w:rPr>
          <w:rFonts w:ascii="Calibri" w:eastAsia="Times New Roman" w:hAnsi="Calibri" w:cs="Calibri"/>
          <w:b/>
          <w:bCs/>
          <w:caps/>
          <w:color w:val="232121"/>
          <w:sz w:val="26"/>
          <w:szCs w:val="26"/>
          <w:lang w:eastAsia="pl-PL"/>
        </w:rPr>
        <w:t>DO 2030 r.</w:t>
      </w:r>
    </w:p>
    <w:p w:rsidR="001E43F7" w:rsidRPr="00ED34ED" w:rsidRDefault="00AD4A8C" w:rsidP="00AD4A8C">
      <w:pPr>
        <w:shd w:val="clear" w:color="auto" w:fill="FFFFFF"/>
        <w:spacing w:after="100" w:afterAutospacing="1" w:line="315" w:lineRule="atLeast"/>
        <w:rPr>
          <w:rFonts w:ascii="Calibri" w:eastAsia="Times New Roman" w:hAnsi="Calibri" w:cs="Calibri"/>
          <w:color w:val="272727"/>
          <w:lang w:eastAsia="pl-PL"/>
        </w:rPr>
      </w:pPr>
      <w:r w:rsidRPr="00ED34ED">
        <w:rPr>
          <w:rFonts w:ascii="Calibri" w:eastAsia="Times New Roman" w:hAnsi="Calibri" w:cs="Calibri"/>
          <w:color w:val="272727"/>
          <w:lang w:eastAsia="pl-PL"/>
        </w:rPr>
        <w:t>Szanowni Państwo,</w:t>
      </w:r>
      <w:r w:rsidR="009F3E25" w:rsidRPr="00ED34ED">
        <w:rPr>
          <w:rFonts w:ascii="Calibri" w:eastAsia="Times New Roman" w:hAnsi="Calibri" w:cs="Calibri"/>
          <w:color w:val="272727"/>
          <w:lang w:eastAsia="pl-PL"/>
        </w:rPr>
        <w:t xml:space="preserve"> </w:t>
      </w:r>
    </w:p>
    <w:p w:rsidR="00AD4A8C" w:rsidRDefault="009F3E25" w:rsidP="00070F77">
      <w:pPr>
        <w:shd w:val="clear" w:color="auto" w:fill="FFFFFF"/>
        <w:spacing w:after="100" w:afterAutospacing="1" w:line="360" w:lineRule="auto"/>
        <w:ind w:firstLine="426"/>
        <w:jc w:val="both"/>
        <w:rPr>
          <w:rFonts w:ascii="Calibri" w:eastAsia="Times New Roman" w:hAnsi="Calibri" w:cs="Calibri"/>
          <w:color w:val="272727"/>
          <w:lang w:eastAsia="pl-PL"/>
        </w:rPr>
      </w:pPr>
      <w:r w:rsidRPr="00ED34ED">
        <w:rPr>
          <w:rFonts w:ascii="Calibri" w:eastAsia="Times New Roman" w:hAnsi="Calibri" w:cs="Calibri"/>
          <w:color w:val="272727"/>
          <w:lang w:eastAsia="pl-PL"/>
        </w:rPr>
        <w:t>zgodnie z</w:t>
      </w:r>
      <w:r w:rsidR="009A16DB" w:rsidRPr="00ED34ED">
        <w:rPr>
          <w:rFonts w:ascii="Calibri" w:eastAsia="Times New Roman" w:hAnsi="Calibri" w:cs="Calibri"/>
          <w:color w:val="272727"/>
          <w:lang w:eastAsia="pl-PL"/>
        </w:rPr>
        <w:t xml:space="preserve"> </w:t>
      </w:r>
      <w:r w:rsidR="00ED34ED" w:rsidRPr="00ED34ED">
        <w:rPr>
          <w:rFonts w:ascii="Calibri" w:hAnsi="Calibri" w:cs="Calibri"/>
          <w:i/>
        </w:rPr>
        <w:t xml:space="preserve">Uchwałą </w:t>
      </w:r>
      <w:r w:rsidR="00070F77" w:rsidRPr="00070F77">
        <w:rPr>
          <w:rFonts w:ascii="Calibri" w:hAnsi="Calibri" w:cs="Calibri"/>
          <w:i/>
        </w:rPr>
        <w:t>Nr LII/342/2023 Rady Miasta Stoczek Łukows</w:t>
      </w:r>
      <w:r w:rsidR="00070F77">
        <w:rPr>
          <w:rFonts w:ascii="Calibri" w:hAnsi="Calibri" w:cs="Calibri"/>
          <w:i/>
        </w:rPr>
        <w:t>ki z dnia 31 sierpnia 2023 r. w </w:t>
      </w:r>
      <w:r w:rsidR="00070F77" w:rsidRPr="00070F77">
        <w:rPr>
          <w:rFonts w:ascii="Calibri" w:hAnsi="Calibri" w:cs="Calibri"/>
          <w:i/>
        </w:rPr>
        <w:t>sprawie wyznaczenia obszaru zdegradowanego i obszaru rewita</w:t>
      </w:r>
      <w:r w:rsidR="00070F77">
        <w:rPr>
          <w:rFonts w:ascii="Calibri" w:hAnsi="Calibri" w:cs="Calibri"/>
          <w:i/>
        </w:rPr>
        <w:t xml:space="preserve">lizacji Miasta Stoczek Łukowski </w:t>
      </w:r>
      <w:r w:rsidRPr="00ED34ED">
        <w:rPr>
          <w:rFonts w:ascii="Calibri" w:eastAsia="Times New Roman" w:hAnsi="Calibri" w:cs="Calibri"/>
          <w:color w:val="272727"/>
          <w:lang w:eastAsia="pl-PL"/>
        </w:rPr>
        <w:t xml:space="preserve">wyznaczono </w:t>
      </w:r>
      <w:r w:rsidR="00DF20A3">
        <w:rPr>
          <w:rFonts w:ascii="Calibri" w:eastAsia="Times New Roman" w:hAnsi="Calibri" w:cs="Calibri"/>
          <w:color w:val="272727"/>
          <w:lang w:eastAsia="pl-PL"/>
        </w:rPr>
        <w:t xml:space="preserve">następujący </w:t>
      </w:r>
      <w:r w:rsidR="00080817" w:rsidRPr="00ED34ED">
        <w:rPr>
          <w:rFonts w:ascii="Calibri" w:eastAsia="Times New Roman" w:hAnsi="Calibri" w:cs="Calibri"/>
          <w:color w:val="272727"/>
          <w:lang w:eastAsia="pl-PL"/>
        </w:rPr>
        <w:t>obszar rewitalizacji: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2278"/>
        <w:gridCol w:w="3978"/>
        <w:gridCol w:w="1557"/>
        <w:gridCol w:w="1247"/>
      </w:tblGrid>
      <w:tr w:rsidR="00DF20A3" w:rsidRPr="008F77D3" w:rsidTr="007345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:rsidR="00DF20A3" w:rsidRPr="008F77D3" w:rsidRDefault="00DF20A3" w:rsidP="00F43BAE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Nazwa obszaru referencyjnego</w:t>
            </w:r>
          </w:p>
        </w:tc>
        <w:tc>
          <w:tcPr>
            <w:tcW w:w="3978" w:type="dxa"/>
            <w:vAlign w:val="center"/>
          </w:tcPr>
          <w:p w:rsidR="00DF20A3" w:rsidRPr="008F77D3" w:rsidRDefault="00DF20A3" w:rsidP="00F43BA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Ulice</w:t>
            </w:r>
          </w:p>
        </w:tc>
        <w:tc>
          <w:tcPr>
            <w:tcW w:w="1557" w:type="dxa"/>
            <w:vAlign w:val="center"/>
          </w:tcPr>
          <w:p w:rsidR="00DF20A3" w:rsidRPr="008F77D3" w:rsidRDefault="00DF20A3" w:rsidP="00F43BA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Powierzchnia  (ha)</w:t>
            </w:r>
          </w:p>
        </w:tc>
        <w:tc>
          <w:tcPr>
            <w:tcW w:w="1247" w:type="dxa"/>
            <w:vAlign w:val="center"/>
          </w:tcPr>
          <w:p w:rsidR="00DF20A3" w:rsidRPr="008F77D3" w:rsidRDefault="00DF20A3" w:rsidP="00F43BAE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Ludność</w:t>
            </w:r>
          </w:p>
        </w:tc>
      </w:tr>
      <w:tr w:rsidR="00DF20A3" w:rsidRPr="008F77D3" w:rsidTr="00734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vAlign w:val="center"/>
          </w:tcPr>
          <w:p w:rsidR="00DF20A3" w:rsidRPr="008F77D3" w:rsidRDefault="00DF20A3" w:rsidP="00F43BAE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Obszar referencyjny 2</w:t>
            </w:r>
          </w:p>
        </w:tc>
        <w:tc>
          <w:tcPr>
            <w:tcW w:w="3978" w:type="dxa"/>
            <w:vAlign w:val="center"/>
          </w:tcPr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Wojska Polskiego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Armii Krajowej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Plac Tadeusza Kościuszki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1 Maja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PCK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Poprzeczna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Przechodnia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Aleksandra Świętochowskiego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Targowa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 xml:space="preserve">Plac Stanisława </w:t>
            </w:r>
            <w:proofErr w:type="spellStart"/>
            <w:r w:rsidRPr="008F77D3">
              <w:rPr>
                <w:rFonts w:cstheme="minorHAnsi"/>
                <w:sz w:val="20"/>
                <w:szCs w:val="20"/>
              </w:rPr>
              <w:t>Wielgoska</w:t>
            </w:r>
            <w:proofErr w:type="spellEnd"/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Krótka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Generała Dwernickiego budynki mieszkalne od nr 1 do 40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 xml:space="preserve">Józefa Piłsudskiego budynki mieszkalne od nr 1 do nr 59 </w:t>
            </w:r>
          </w:p>
          <w:p w:rsidR="00DF20A3" w:rsidRPr="008F77D3" w:rsidRDefault="00DF20A3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Wyzwolenia</w:t>
            </w:r>
          </w:p>
        </w:tc>
        <w:tc>
          <w:tcPr>
            <w:tcW w:w="1557" w:type="dxa"/>
            <w:vAlign w:val="center"/>
          </w:tcPr>
          <w:p w:rsidR="00DF20A3" w:rsidRPr="008F77D3" w:rsidRDefault="00DF20A3" w:rsidP="00F43BA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40,2809</w:t>
            </w:r>
          </w:p>
        </w:tc>
        <w:tc>
          <w:tcPr>
            <w:tcW w:w="1247" w:type="dxa"/>
            <w:vAlign w:val="center"/>
          </w:tcPr>
          <w:p w:rsidR="00DF20A3" w:rsidRPr="008F77D3" w:rsidRDefault="00DF20A3" w:rsidP="00F43BAE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8F77D3">
              <w:rPr>
                <w:rFonts w:cstheme="minorHAnsi"/>
                <w:sz w:val="20"/>
                <w:szCs w:val="20"/>
              </w:rPr>
              <w:t>701</w:t>
            </w:r>
          </w:p>
        </w:tc>
      </w:tr>
    </w:tbl>
    <w:p w:rsidR="00DF20A3" w:rsidRDefault="00DF20A3" w:rsidP="00070F77">
      <w:pPr>
        <w:shd w:val="clear" w:color="auto" w:fill="FFFFFF"/>
        <w:spacing w:after="100" w:afterAutospacing="1" w:line="360" w:lineRule="auto"/>
        <w:ind w:firstLine="426"/>
        <w:jc w:val="both"/>
        <w:rPr>
          <w:rFonts w:ascii="Calibri" w:eastAsia="Times New Roman" w:hAnsi="Calibri" w:cs="Calibri"/>
          <w:color w:val="272727"/>
          <w:lang w:eastAsia="pl-PL"/>
        </w:rPr>
      </w:pPr>
    </w:p>
    <w:p w:rsidR="00DF20A3" w:rsidRPr="00D227E4" w:rsidRDefault="00DF20A3" w:rsidP="00DF20A3">
      <w:pPr>
        <w:pStyle w:val="Akapitzlist"/>
        <w:spacing w:after="0" w:line="360" w:lineRule="auto"/>
        <w:ind w:left="0" w:firstLine="708"/>
        <w:jc w:val="both"/>
        <w:rPr>
          <w:rFonts w:cs="Calibri"/>
          <w:b/>
        </w:rPr>
      </w:pPr>
      <w:r w:rsidRPr="00D227E4">
        <w:rPr>
          <w:rFonts w:cs="Calibri"/>
          <w:b/>
        </w:rPr>
        <w:t>Wyznaczano obszar rewitaliza</w:t>
      </w:r>
      <w:r>
        <w:rPr>
          <w:rFonts w:cs="Calibri"/>
          <w:b/>
        </w:rPr>
        <w:t>cji o łącznej powierzchni: 40,2809 ha (0,402809 km2), co stanowi 4,40</w:t>
      </w:r>
      <w:r w:rsidRPr="00D227E4">
        <w:rPr>
          <w:rFonts w:cs="Calibri"/>
          <w:b/>
        </w:rPr>
        <w:t>% całkowitej powierzchni miasta</w:t>
      </w:r>
      <w:r>
        <w:rPr>
          <w:rFonts w:cs="Calibri"/>
          <w:b/>
        </w:rPr>
        <w:t xml:space="preserve"> (9,147322 km2)</w:t>
      </w:r>
      <w:r w:rsidRPr="00D227E4">
        <w:rPr>
          <w:rFonts w:cs="Calibri"/>
          <w:b/>
        </w:rPr>
        <w:t>, co mieści się w dopuszczalnym wskaźniku 20% powierzchni jednostki samorządu terytorialnego. Dodatkowo, obszar ten w 2022 r. zamieszkały był przez 701 mieszkańców, co stanowiło 28,67% całej populacji Miasta Stoczek Łukowski  (liczba mieszkańców miasta w 2022 r. 2 445 osób).</w:t>
      </w:r>
    </w:p>
    <w:p w:rsidR="00DF20A3" w:rsidRDefault="00DF20A3" w:rsidP="00070F77">
      <w:pPr>
        <w:shd w:val="clear" w:color="auto" w:fill="FFFFFF"/>
        <w:spacing w:after="100" w:afterAutospacing="1" w:line="360" w:lineRule="auto"/>
        <w:ind w:firstLine="426"/>
        <w:jc w:val="both"/>
        <w:rPr>
          <w:rFonts w:ascii="Calibri" w:eastAsia="Times New Roman" w:hAnsi="Calibri" w:cs="Calibri"/>
          <w:color w:val="272727"/>
          <w:lang w:eastAsia="pl-PL"/>
        </w:rPr>
      </w:pPr>
    </w:p>
    <w:p w:rsidR="00DF20A3" w:rsidRDefault="00DF20A3" w:rsidP="00DF20A3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27272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4C4A894" wp14:editId="0783FA07">
            <wp:extent cx="5760720" cy="3653929"/>
            <wp:effectExtent l="0" t="0" r="0" b="3810"/>
            <wp:docPr id="28" name="Obraz 28" descr="Obraz zawierający szkic, rysowanie, map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Obraz zawierający szkic, rysowanie, mapa, diagram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1C" w:rsidRPr="00526B1C" w:rsidRDefault="00DF20A3" w:rsidP="00526B1C">
      <w:pPr>
        <w:shd w:val="clear" w:color="auto" w:fill="FFFFFF"/>
        <w:spacing w:after="100" w:afterAutospacing="1" w:line="360" w:lineRule="auto"/>
        <w:jc w:val="both"/>
        <w:rPr>
          <w:rFonts w:ascii="Calibri" w:eastAsia="Times New Roman" w:hAnsi="Calibri" w:cs="Calibri"/>
          <w:color w:val="272727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D9674F" wp14:editId="395CFED7">
            <wp:extent cx="5760720" cy="943968"/>
            <wp:effectExtent l="0" t="0" r="0" b="8890"/>
            <wp:docPr id="27022211" name="Obraz 27022211" descr="Obraz zawierający tekst, zrzut ekranu, Czcionka, algeb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22211" name="Obraz 27022211" descr="Obraz zawierający tekst, zrzut ekranu, Czcionka, algebr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4Accent5"/>
        <w:tblW w:w="5000" w:type="pct"/>
        <w:tblLook w:val="04A0" w:firstRow="1" w:lastRow="0" w:firstColumn="1" w:lastColumn="0" w:noHBand="0" w:noVBand="1"/>
      </w:tblPr>
      <w:tblGrid>
        <w:gridCol w:w="1303"/>
        <w:gridCol w:w="5957"/>
        <w:gridCol w:w="2028"/>
      </w:tblGrid>
      <w:tr w:rsidR="00526B1C" w:rsidRPr="00C03833" w:rsidTr="00526B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526B1C" w:rsidRPr="00C03833" w:rsidRDefault="00526B1C" w:rsidP="00F43BA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3833">
              <w:rPr>
                <w:rFonts w:ascii="Calibri" w:hAnsi="Calibri" w:cs="Calibri"/>
                <w:sz w:val="18"/>
                <w:szCs w:val="18"/>
              </w:rPr>
              <w:t>Sfera</w:t>
            </w:r>
          </w:p>
        </w:tc>
        <w:tc>
          <w:tcPr>
            <w:tcW w:w="3207" w:type="pct"/>
            <w:vAlign w:val="center"/>
          </w:tcPr>
          <w:p w:rsidR="00526B1C" w:rsidRPr="00C03833" w:rsidRDefault="00526B1C" w:rsidP="00F4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C03833">
              <w:rPr>
                <w:rFonts w:ascii="Calibri" w:hAnsi="Calibri" w:cs="Calibri"/>
                <w:sz w:val="18"/>
                <w:szCs w:val="18"/>
              </w:rPr>
              <w:t>Zdiagnozowane problemy</w:t>
            </w:r>
          </w:p>
        </w:tc>
        <w:tc>
          <w:tcPr>
            <w:tcW w:w="1092" w:type="pct"/>
            <w:vAlign w:val="center"/>
          </w:tcPr>
          <w:p w:rsidR="00526B1C" w:rsidRPr="00C03833" w:rsidRDefault="00526B1C" w:rsidP="00F43B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</w:rPr>
            </w:pPr>
            <w:r w:rsidRPr="00C03833">
              <w:rPr>
                <w:rFonts w:ascii="Calibri" w:hAnsi="Calibri" w:cs="Calibri"/>
                <w:sz w:val="18"/>
                <w:szCs w:val="18"/>
              </w:rPr>
              <w:t>Identyfikowane potencjały</w:t>
            </w:r>
          </w:p>
        </w:tc>
      </w:tr>
      <w:tr w:rsidR="00526B1C" w:rsidRPr="003A1C57" w:rsidTr="0052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526B1C" w:rsidRPr="00526B1C" w:rsidRDefault="00526B1C" w:rsidP="00F43BAE">
            <w:pPr>
              <w:contextualSpacing/>
              <w:jc w:val="both"/>
              <w:rPr>
                <w:rFonts w:ascii="Calibri" w:hAnsi="Calibri" w:cs="Calibri"/>
                <w:sz w:val="16"/>
                <w:szCs w:val="18"/>
              </w:rPr>
            </w:pPr>
          </w:p>
          <w:p w:rsidR="00526B1C" w:rsidRPr="00526B1C" w:rsidRDefault="00526B1C" w:rsidP="00F43BAE">
            <w:pPr>
              <w:contextualSpacing/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Społeczna</w:t>
            </w:r>
          </w:p>
          <w:p w:rsidR="00526B1C" w:rsidRPr="00526B1C" w:rsidRDefault="00526B1C" w:rsidP="00F43BAE">
            <w:pPr>
              <w:contextualSpacing/>
              <w:jc w:val="both"/>
              <w:rPr>
                <w:rFonts w:ascii="Calibri" w:hAnsi="Calibri" w:cs="Calibri"/>
                <w:sz w:val="16"/>
                <w:szCs w:val="18"/>
              </w:rPr>
            </w:pPr>
          </w:p>
          <w:p w:rsidR="00526B1C" w:rsidRPr="00526B1C" w:rsidRDefault="00526B1C" w:rsidP="00F43BAE">
            <w:pPr>
              <w:contextualSpacing/>
              <w:jc w:val="both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3207" w:type="pct"/>
            <w:vAlign w:val="center"/>
          </w:tcPr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– depopulacja obszaru rewitalizacji w  tempie szybszym niż w przypadku całego miast (w latach 2018-2022 spadek liczby mieszkańców obszaru rewitalizacji o 8,25% a całego miasta (4,79%)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ujemny przyrost naturalny w obszarze rewitalizacji, tak samo jak w  obrębie całego Miasta Stoczek Łukowski  (we wszystkich latach prowadzonej analizy, tj. 2018-2022 notuje się ujemny przyrost naturalny) 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zarówno w obszarze gminy, jak i obszaru rewitalizacji w latach 2017-2021 odnotowuje się ujemne, z roku na rok większe saldo migracji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 wysoki udział ludności w wieku poprodukcyjnym (wskaźnik liczby ludności w wieku poprodukcyjnym na 100 mieszkańców w 2022 r. w zakresie obszaru rewitalizacji wynosi 4,42 i kształtuje się na poziomie wyższym niż średnia gminna 24,29) 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w 2022 r. liczba urodzeń przypadająca na 100 mieszkańców kształtowała się w obszarze rewitalizacji na niższym poziomie (0,29) w porównaniu ze średnią miejską (0,57)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saldo migracji kształtuje się na bardzo niskim dodatnim poziomie (od +1 do +3) lub przybiera wartość ujemną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 wyższe od średnich są wskaźniki migracji dla ludzi młodych, o wyższym poziomie wykształcenia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występowanie niekorzystnych zjawisk demograficznych związanych z ubytkiem młodych mieszkańców i stopniowym starzeniem się społeczeństwa  (w obszarze rewitalizacji zauważalny jest wzrost liczby mieszkańców w wieku poprodukcyjnym z 208 w 2018 r. do 211 w 2022 r., czyli o 1,44%.;</w:t>
            </w:r>
            <w:r w:rsidRPr="00526B1C">
              <w:rPr>
                <w:rFonts w:ascii="Calibri" w:hAnsi="Calibri" w:cs="Calibri"/>
                <w:sz w:val="16"/>
              </w:rPr>
              <w:t xml:space="preserve"> </w:t>
            </w:r>
            <w:r w:rsidRPr="00526B1C">
              <w:rPr>
                <w:rFonts w:ascii="Calibri" w:hAnsi="Calibri" w:cs="Calibri"/>
                <w:sz w:val="16"/>
                <w:szCs w:val="18"/>
              </w:rPr>
              <w:t xml:space="preserve">wzrost ich udziału w ogólnej liczbie mieszkańców obszaru rewitalizacji z 27,23% w 2018 r. do 30,10% w 2022 r. ; wartość wskaźnika obrazującego zmianę liczby mieszkańców w wieku poprodukcyjnym przypadającą na 100 mieszkańców w latach 2018-2022. Dla obszaru całego </w:t>
            </w:r>
            <w:proofErr w:type="spellStart"/>
            <w:r w:rsidRPr="00526B1C">
              <w:rPr>
                <w:rFonts w:ascii="Calibri" w:hAnsi="Calibri" w:cs="Calibri"/>
                <w:sz w:val="16"/>
                <w:szCs w:val="18"/>
              </w:rPr>
              <w:t>mista</w:t>
            </w:r>
            <w:proofErr w:type="spellEnd"/>
            <w:r w:rsidRPr="00526B1C">
              <w:rPr>
                <w:rFonts w:ascii="Calibri" w:hAnsi="Calibri" w:cs="Calibri"/>
                <w:sz w:val="16"/>
                <w:szCs w:val="18"/>
              </w:rPr>
              <w:t xml:space="preserve"> wynosi: 1,19, a dla obszaru rewitalizacji: 10,56) 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 - niekorzystne prognozy GUS w zakresie wyludniania się obszaru oraz starzenia się </w:t>
            </w:r>
            <w:r w:rsidRPr="00526B1C">
              <w:rPr>
                <w:rFonts w:ascii="Calibri" w:hAnsi="Calibri" w:cs="Calibri"/>
                <w:sz w:val="16"/>
                <w:szCs w:val="18"/>
              </w:rPr>
              <w:lastRenderedPageBreak/>
              <w:t xml:space="preserve">struktury ludności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zakorzeniony problem bezrobocia (przy populacji obszaru rewitalizacji wynoszącej 28,67% wszystkich mieszkańców gminy, 22,86% wszystkich bezrobotnych zamieszkuje ww. obszar; mieszkańcy obszaru rewitalizacji stanowią wysoki odsetek klientów MOPS korzystających z ww. wparcia, w latach 2018-2022 odpowiednio: 46,67%, 60%, 46,15%, 46,67% i 45,45%; wskaźnik liczby osób pobierających świadczenia z tytułu bezrobocia na 100 mieszkańców w 2022 r. dla terenu całego miasta wyniósł: 0,45, natomiast dla obszaru rewitalizacji wartość wskaźnika kształtowała się na poziomie znacznie wyższym tj. 0,71)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zjawisko długotrwałego bezrobocia, ma na obszarze rewitalizacji charakter utrwalony i wskazuje tendencje wzrostową (liczba osób długotrwale bezrobotnych przypadającej na 100 mieszkańców w wieku produkcyjnym w 2022 r. - w granicach tego obszaru odnotowano wyższą wartość wskaźnika (1,40) niż średnia dla całego miasta (1,15)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 – szczególna koncentracja osób korzystających z różnego rodzaju świadczeń GOPS (na obszarze rewitalizacji zamieszkuje niemal 1/3 wszystkich beneficjentów pomocy społecznej z terenu miasta; na obszarze rewitalizacji liczba mieszkańców pobierających świadczenia pomocy społecznej w 2022 r. w przeliczeniu na 100 mieszkańców jest wyższa, tj. 5,56) niż dla obszaru całego miasta, tj. 4,17)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zdiagnozowanym problemem obszaru rewitalizacji jest ubóstwo (w 2022 r. prawie co drugi beneficjent pomocy społecznej korzystający z MOPS z powodu ubóstwa zamieszkiwał obszar rewitalizacji; dodatkowo wskaźnik obrazujący liczbę osób pobierających świadczenia z tytułu ubóstwa przypadającą na 100 mieszkańców był w obrębie obszaru rewitalizacji (4,71) wyższy o 1,93 punktów procentowych w porównaniu ze średnią miejską (2,78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problemem obszaru rewitalizacji jest bezradność w sprawach opiekuńczo-wychowawczych oraz prowadzenie gospodarstwa domowego (udział mieszkańców obszaru rewitalizacji w ogólnej populacji mieszkańców pobierających świadczenia z tego tytułu wynosił:  w 2018 r.: 40%, w 2019 r.: 75%, w 2020 r.: 60%, w 2021 r.: 60% oraz 2022 r.: 60%.; wskaźnik liczby osób pobierających świadczenia przypadającej na 100 mieszkańców w 2022 r. dla miasta wyniósł: 0,20, a dla obszaru rewitalizacji: 0,43)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stan zamożności mieszkańców wpływający na konieczność korzystania z dożywiania (w 2022 r. 50% wszystkich mieszkańców  korzystających z dożywiania pochodziło z obszaru rewitalizacji;</w:t>
            </w:r>
            <w:r w:rsidRPr="00526B1C">
              <w:rPr>
                <w:rFonts w:ascii="Calibri" w:hAnsi="Calibri" w:cs="Calibri"/>
                <w:sz w:val="16"/>
              </w:rPr>
              <w:t xml:space="preserve"> </w:t>
            </w:r>
            <w:r w:rsidRPr="00526B1C">
              <w:rPr>
                <w:rFonts w:ascii="Calibri" w:hAnsi="Calibri" w:cs="Calibri"/>
                <w:sz w:val="16"/>
                <w:szCs w:val="18"/>
              </w:rPr>
              <w:t>liczba mieszkańców korzystających z programów dożywiania na 100 mieszkańców w 2022 r. była tutaj sporo wyższa (1,57) od średniej miejskiej (0,90)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- 100% mieszkańców korzystających z pomocy z tytułu alkoholizmu zamieszkiwało obszar rewitalizacji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liczba osób zgłoszonych do MKRPA w 2022 r. na 100 mieszkańców była wyższa w obszarze rewitalizacji (0,29) niż średnia dla całego miasta (0,20)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na obszarze tym notowany jest również problem przemocy w rodzinie (Rozkład terytorialny wskaźnika dot. liczby mieszkańców, którzy mają założoną Niebieską Kartę przypadającej na 100 mieszkańców w 2022 r. wskazuje, że w obrębie obszaru rewitalizacji mamy do czynienia z gorszą sytuacją niż w obrębie całego miasta – wskaźnik przyjął tutaj wartość wyższą (0,14) od średniej miejskiej (0,08).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mieszkańcy obszaru rewitalizacji borykając się również z licznymi problemami zdrowotnymi (w 2022r. 38,10% osób pobierających świadczenia z tytułu długotrwałej lub ciężkiej choroby zamieszkiwało obszar rewitalizacji; wskaźnika liczby osób korzystających z pomocy społecznej z ww. powodu choroby przypadającej na 100 mieszkańców dla obszaru miasta wynosił: 0,86, a dla  obszaru rewitalizacji: 1,14)    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liczba mieszkańców korzystających ze świadczeń pomocy społecznej z tytułu niepełnosprawności w przeliczeniu na 100 mieszkańców w 2022 r. również kształtuje się na obszarze rewitalizacji na poziomie wyższym w porównaniu z danymi z miasta (miasto: 0,86, obszar rewitalizacji: 1,14)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 w obrębie wyznaczonego obszaru rewitalizacji, w zakresie obu lat prowadzonej analizy (2020/2021 oraz 2021/2022), udziału uczniów szkół podstawowych posiadających szczególne potrzeby edukacyjne w ogólnej liczbie uczniów z tego obszaru, kształtuje się na poziomie wyższym niż średnia miasta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– niski poziom bezpieczeństwa publicznego (wysoki udział nieakceptowanych społecznie </w:t>
            </w:r>
            <w:proofErr w:type="spellStart"/>
            <w:r w:rsidRPr="00526B1C">
              <w:rPr>
                <w:rFonts w:ascii="Calibri" w:hAnsi="Calibri" w:cs="Calibri"/>
                <w:sz w:val="16"/>
                <w:szCs w:val="18"/>
              </w:rPr>
              <w:t>zachowań</w:t>
            </w:r>
            <w:proofErr w:type="spellEnd"/>
            <w:r w:rsidRPr="00526B1C">
              <w:rPr>
                <w:rFonts w:ascii="Calibri" w:hAnsi="Calibri" w:cs="Calibri"/>
                <w:sz w:val="16"/>
                <w:szCs w:val="18"/>
              </w:rPr>
              <w:t xml:space="preserve"> (w latach 2018-2022 udział przestępstw popełnionych na obszarze rewitalizacji w stosunku do ogólnej ich liczby kształtował się niezmiennie na bardzo wysokim poziomie -wahał się on od 45,90% w 2018 r. do 30,43% w 2022 r.; liczba popełnionych przestępstw przypadającą na 100 mieszkańców na obszarze rewitalizacji jest wyższa -2,00 niż na terenie całego Miasta Stoczek Łukowski 1,88; w granicach obszaru rewitalizacji odnotowuje się sporą część wykroczeń, które miały miejsce na terenie całego miasta (przekraczających 40% w większości lat analizy; udział interwencji przeprowadzonych na obszarze rewitalizacji w stosunku do ogółu tego rodzaju działań Policji w mieście jest bardzo wysoki (waha się od: 41,14% w 2018 r. do 49,82% w 2022 r.)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zauważalna jest bierność dużej części mieszkańców w sprawy społeczne i obywatelskie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przeważa niechęć w aktywne angażowanie się w sprawy publiczne, życie kulturalne, społeczne</w:t>
            </w:r>
          </w:p>
        </w:tc>
        <w:tc>
          <w:tcPr>
            <w:tcW w:w="1092" w:type="pct"/>
            <w:vAlign w:val="center"/>
          </w:tcPr>
          <w:p w:rsidR="00526B1C" w:rsidRPr="00526B1C" w:rsidRDefault="00526B1C" w:rsidP="00F43BA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  <w:p w:rsidR="00526B1C" w:rsidRPr="00526B1C" w:rsidRDefault="00526B1C" w:rsidP="00F43BA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– dostępność obiektów publicznych, które można wykorzystać dla potrzeb realizacji różnego rodzaju działań społecznych </w:t>
            </w:r>
          </w:p>
          <w:p w:rsidR="00526B1C" w:rsidRPr="00526B1C" w:rsidRDefault="00526B1C" w:rsidP="00F43BA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– bogate dziedzictwo kulturowe i naturalne obszaru </w:t>
            </w:r>
          </w:p>
          <w:p w:rsidR="00526B1C" w:rsidRPr="00526B1C" w:rsidRDefault="00526B1C" w:rsidP="00F43BA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– relatywnie wysoka liczba organizacji pozarządowych, w tym organizacji działających prężnie na rzecz integracji i aktywizacji społeczności lokalnej </w:t>
            </w:r>
          </w:p>
          <w:p w:rsidR="00526B1C" w:rsidRPr="00526B1C" w:rsidRDefault="00526B1C" w:rsidP="00F43BA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doświadczona kadra instytucji publicznych wdrażających różnego rodzaju przedsięwzięcia w zakresie włączenia społecznego  </w:t>
            </w:r>
          </w:p>
          <w:p w:rsidR="00526B1C" w:rsidRPr="00526B1C" w:rsidRDefault="00526B1C" w:rsidP="00F43BAE">
            <w:pPr>
              <w:pStyle w:val="Defaul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 </w:t>
            </w:r>
          </w:p>
          <w:p w:rsidR="00526B1C" w:rsidRPr="00526B1C" w:rsidRDefault="00526B1C" w:rsidP="00F43BA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526B1C" w:rsidRPr="003A1C57" w:rsidTr="00526B1C">
        <w:trPr>
          <w:trHeight w:val="2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526B1C" w:rsidRPr="00526B1C" w:rsidRDefault="00526B1C" w:rsidP="00F43BAE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lastRenderedPageBreak/>
              <w:t>Gospodarcza</w:t>
            </w:r>
          </w:p>
        </w:tc>
        <w:tc>
          <w:tcPr>
            <w:tcW w:w="3207" w:type="pct"/>
            <w:vAlign w:val="center"/>
          </w:tcPr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 niska dochodowość i innowacyjność funkcjonujących podmiotów gospodarczych 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brak wystarczającej liczby miejsc pracy wpływający na procesy migracyjne ludności i wyludnianie się obszaru 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niewystarczające wykorzystanie potencjału obszaru (walorów naturalnych oraz turystycznych) do rozwoju sfery gospodarczej  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problematyczna jest niechęć mieszkańców do podejmowania ryzyka, niska innowacyjność i kreatywność oraz rzadka w populacji cecha bycia przedsiębiorczym</w:t>
            </w:r>
          </w:p>
        </w:tc>
        <w:tc>
          <w:tcPr>
            <w:tcW w:w="1092" w:type="pct"/>
            <w:vAlign w:val="center"/>
          </w:tcPr>
          <w:p w:rsidR="00526B1C" w:rsidRPr="00526B1C" w:rsidRDefault="00526B1C" w:rsidP="00F43BA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526B1C">
              <w:rPr>
                <w:rFonts w:ascii="Calibri" w:hAnsi="Calibri" w:cs="Calibri"/>
                <w:color w:val="auto"/>
                <w:sz w:val="16"/>
                <w:szCs w:val="18"/>
              </w:rPr>
              <w:t xml:space="preserve">- obszar rewitalizacji to teren o dogodnych walorach przyrodniczych, krajobrazowych i naturalnych stanowiących potencjał o rozwoju turystki </w:t>
            </w:r>
          </w:p>
          <w:p w:rsidR="00526B1C" w:rsidRPr="00526B1C" w:rsidRDefault="00526B1C" w:rsidP="00F43BA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526B1C">
              <w:rPr>
                <w:rFonts w:ascii="Calibri" w:hAnsi="Calibri" w:cs="Calibri"/>
                <w:color w:val="auto"/>
                <w:sz w:val="16"/>
                <w:szCs w:val="18"/>
              </w:rPr>
              <w:t xml:space="preserve">- ulokowanie obiektów zdegradowanych, którym można nadać nowe funkcje, w tym turystyczne i gospodarcze  </w:t>
            </w:r>
          </w:p>
          <w:p w:rsidR="00526B1C" w:rsidRPr="00526B1C" w:rsidRDefault="00526B1C" w:rsidP="00F43BA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526B1C">
              <w:rPr>
                <w:rFonts w:ascii="Calibri" w:hAnsi="Calibri" w:cs="Calibri"/>
                <w:color w:val="auto"/>
                <w:sz w:val="16"/>
                <w:szCs w:val="18"/>
              </w:rPr>
              <w:t xml:space="preserve">- </w:t>
            </w:r>
            <w:proofErr w:type="spellStart"/>
            <w:r w:rsidRPr="00526B1C">
              <w:rPr>
                <w:rFonts w:ascii="Calibri" w:hAnsi="Calibri" w:cs="Calibri"/>
                <w:color w:val="auto"/>
                <w:sz w:val="16"/>
                <w:szCs w:val="18"/>
              </w:rPr>
              <w:t>potncjał</w:t>
            </w:r>
            <w:proofErr w:type="spellEnd"/>
            <w:r w:rsidRPr="00526B1C">
              <w:rPr>
                <w:rFonts w:ascii="Calibri" w:hAnsi="Calibri" w:cs="Calibri"/>
                <w:color w:val="auto"/>
                <w:sz w:val="16"/>
                <w:szCs w:val="18"/>
              </w:rPr>
              <w:t xml:space="preserve"> istniejących podmiotów gospodarczych</w:t>
            </w:r>
          </w:p>
        </w:tc>
      </w:tr>
      <w:tr w:rsidR="00526B1C" w:rsidRPr="003A1C57" w:rsidTr="00526B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526B1C" w:rsidRPr="00526B1C" w:rsidRDefault="00526B1C" w:rsidP="00F43BAE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</w:p>
          <w:p w:rsidR="00526B1C" w:rsidRPr="00526B1C" w:rsidRDefault="00526B1C" w:rsidP="00F43BAE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Techniczna</w:t>
            </w:r>
          </w:p>
          <w:p w:rsidR="00526B1C" w:rsidRPr="00526B1C" w:rsidRDefault="00526B1C" w:rsidP="00F43BAE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Przestrzenno-funkcjonalna </w:t>
            </w:r>
          </w:p>
        </w:tc>
        <w:tc>
          <w:tcPr>
            <w:tcW w:w="3207" w:type="pct"/>
            <w:vAlign w:val="center"/>
          </w:tcPr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nadal 13,45% budynków na obszarze rewitalizacji nie korzysta  z sieci kanalizacji sanitarnej  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zaledwie 32,77% ogółu budynków mieszkalnych zlokalizowanych na obszarze rewitalizacji korzysta z sieci gazowej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 - niemal połowa budynków mieszkalnych zlokalizowanych na obszarze rewitalizacji potrzebuje pilnej wymiany przestarzałych źródeł ciepła (47,06%)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- 7 z 14 znajdujących się na obszarze rewitalizacji budynków publicznych wymaga przeprowadzenia prac termomodernizacyjnych (50%)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- 8 z 14 budynków użyteczności publicznej wymaga dostosowania do potrzeb osób z niepełnoprawnościami  (57,1%)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- 19,71% dróg lokalnych na obszarze rewitalizacji wymaga interwencji 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największym problemem obszaru rewitalizacji jest zły stan techniczny oraz degradacja niemal całości terenów publicznych, wskaźnik udziału powierzchni gruntów publicznych wymagających interwencji osiągnął wartość 98,04% dla obszaru rewitalizacji. 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92" w:type="pct"/>
            <w:vAlign w:val="center"/>
          </w:tcPr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występowanie obiektów publicznych, którym można przywrócić pierwotne lub nadać nowe funkcje użytkowe, 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– położenie na terenie o dużych walorach krajoznawczych sprzyjających rozwojowi turystyki i spędzania czasu wolnego 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– potencjał do rozwoju różnych form turystyki i związanych z nią usług (np. szlak zabytków techniki)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doświadczona kadra instytucji publicznych wdrażających różnego rodzaju przedsięwzięcia w zakresie poprawy infrastruktury technicznej oraz przestrzenno-funkcjonalnej 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 – obecność ciekawych obiektów historycznych</w:t>
            </w:r>
          </w:p>
          <w:p w:rsidR="00526B1C" w:rsidRPr="00526B1C" w:rsidRDefault="00526B1C" w:rsidP="00F43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</w:p>
        </w:tc>
      </w:tr>
      <w:tr w:rsidR="00526B1C" w:rsidRPr="003A1C57" w:rsidTr="00526B1C">
        <w:trPr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pct"/>
            <w:vAlign w:val="center"/>
          </w:tcPr>
          <w:p w:rsidR="00526B1C" w:rsidRPr="00526B1C" w:rsidRDefault="00526B1C" w:rsidP="00F43BAE">
            <w:pPr>
              <w:jc w:val="both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Środowiskowa</w:t>
            </w:r>
          </w:p>
        </w:tc>
        <w:tc>
          <w:tcPr>
            <w:tcW w:w="3207" w:type="pct"/>
            <w:vAlign w:val="center"/>
          </w:tcPr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b/>
                <w:sz w:val="16"/>
                <w:szCs w:val="18"/>
              </w:rPr>
              <w:t>-o</w:t>
            </w:r>
            <w:r w:rsidRPr="00526B1C">
              <w:rPr>
                <w:rFonts w:ascii="Calibri" w:hAnsi="Calibri" w:cs="Calibri"/>
                <w:sz w:val="16"/>
                <w:szCs w:val="18"/>
              </w:rPr>
              <w:t xml:space="preserve">bszar rewitalizacji boryka się z problemami w zakresie jakości powietrza; na jego terenie znajduje się stosunkowo spory udział obszarów, na których odnotowuje się przekroczenia </w:t>
            </w:r>
            <w:proofErr w:type="spellStart"/>
            <w:r w:rsidRPr="00526B1C">
              <w:rPr>
                <w:rFonts w:ascii="Calibri" w:hAnsi="Calibri" w:cs="Calibri"/>
                <w:sz w:val="16"/>
                <w:szCs w:val="18"/>
              </w:rPr>
              <w:t>benzo</w:t>
            </w:r>
            <w:proofErr w:type="spellEnd"/>
            <w:r w:rsidRPr="00526B1C">
              <w:rPr>
                <w:rFonts w:ascii="Calibri" w:hAnsi="Calibri" w:cs="Calibri"/>
                <w:sz w:val="16"/>
                <w:szCs w:val="18"/>
              </w:rPr>
              <w:t>/z/</w:t>
            </w:r>
            <w:proofErr w:type="spellStart"/>
            <w:r w:rsidRPr="00526B1C">
              <w:rPr>
                <w:rFonts w:ascii="Calibri" w:hAnsi="Calibri" w:cs="Calibri"/>
                <w:sz w:val="16"/>
                <w:szCs w:val="18"/>
              </w:rPr>
              <w:t>pirenu</w:t>
            </w:r>
            <w:proofErr w:type="spellEnd"/>
            <w:r w:rsidRPr="00526B1C">
              <w:rPr>
                <w:rFonts w:ascii="Calibri" w:hAnsi="Calibri" w:cs="Calibri"/>
                <w:sz w:val="16"/>
                <w:szCs w:val="18"/>
              </w:rPr>
              <w:t xml:space="preserve"> (w 2021r. 100% obszaru rewitalizacji znajdowało się w graniach terenu, gdzie odnotowano </w:t>
            </w:r>
            <w:proofErr w:type="spellStart"/>
            <w:r w:rsidRPr="00526B1C">
              <w:rPr>
                <w:rFonts w:ascii="Calibri" w:hAnsi="Calibri" w:cs="Calibri"/>
                <w:sz w:val="16"/>
                <w:szCs w:val="18"/>
              </w:rPr>
              <w:t>przerkoczenie</w:t>
            </w:r>
            <w:proofErr w:type="spellEnd"/>
            <w:r w:rsidRPr="00526B1C">
              <w:rPr>
                <w:rFonts w:ascii="Calibri" w:hAnsi="Calibri" w:cs="Calibri"/>
                <w:sz w:val="16"/>
                <w:szCs w:val="18"/>
              </w:rPr>
              <w:t xml:space="preserve"> jakości powietrza) 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-wyznaczony obszar rewitalizacji wymaga interwencji również z powodu pozostającej na jego terenie dużej ilości azbestu do utylizacji (w 2022 r. liczba budynków pokrytych azbestem wyniosła w obrębie obszaru rewitalizacji 24, co stanowi 13,95% wszystkich budynków mieszkalnych pokrytych azbestem w mieście; budynki te stanowiły 20,17% ogólnej liczby budynków mieszkalnych w obszarze rewitalizacji)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niewystarczająca świadomość ekologiczna mieszkańców 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1092" w:type="pct"/>
            <w:vAlign w:val="center"/>
          </w:tcPr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- doświadczenie kadr Urzędu Gminy   w zakresie przedsięwzięć wpływających na poprawę i ochronę jakości środowiska naturalnego 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 xml:space="preserve"> - potencjał dla podjęcia działań podnoszących efektywność energetyczną</w:t>
            </w:r>
          </w:p>
          <w:p w:rsidR="00526B1C" w:rsidRPr="00526B1C" w:rsidRDefault="00526B1C" w:rsidP="00F43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6"/>
                <w:szCs w:val="18"/>
              </w:rPr>
            </w:pPr>
            <w:r w:rsidRPr="00526B1C">
              <w:rPr>
                <w:rFonts w:ascii="Calibri" w:hAnsi="Calibri" w:cs="Calibri"/>
                <w:sz w:val="16"/>
                <w:szCs w:val="18"/>
              </w:rPr>
              <w:t>- rodząca się świadomość mieszkańców w zakresie niezbędności prowadzenia proekologicznych działań</w:t>
            </w:r>
          </w:p>
        </w:tc>
      </w:tr>
    </w:tbl>
    <w:p w:rsidR="00C15E2D" w:rsidRPr="00ED34ED" w:rsidRDefault="00C15E2D" w:rsidP="00C15E2D">
      <w:pPr>
        <w:pStyle w:val="Default"/>
        <w:shd w:val="clear" w:color="auto" w:fill="FFFFFF" w:themeFill="background1"/>
        <w:spacing w:line="312" w:lineRule="auto"/>
        <w:jc w:val="both"/>
        <w:rPr>
          <w:rFonts w:ascii="Calibri" w:hAnsi="Calibri" w:cs="Calibri"/>
          <w:sz w:val="22"/>
          <w:szCs w:val="22"/>
        </w:rPr>
      </w:pPr>
    </w:p>
    <w:p w:rsidR="00AD4A8C" w:rsidRPr="00C703BA" w:rsidRDefault="00706062" w:rsidP="0024160A">
      <w:pPr>
        <w:shd w:val="clear" w:color="auto" w:fill="FFFFFF"/>
        <w:spacing w:after="100" w:afterAutospacing="1" w:line="315" w:lineRule="atLeast"/>
        <w:ind w:firstLine="708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>
        <w:rPr>
          <w:rFonts w:ascii="Calibri" w:eastAsia="Times New Roman" w:hAnsi="Calibri" w:cs="Calibri"/>
          <w:color w:val="272727"/>
          <w:sz w:val="21"/>
          <w:szCs w:val="21"/>
          <w:lang w:eastAsia="pl-PL"/>
        </w:rPr>
        <w:t xml:space="preserve">W 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związku z podjęciem </w:t>
      </w:r>
      <w:r w:rsidR="0024160A" w:rsidRPr="00C703BA">
        <w:rPr>
          <w:rFonts w:eastAsia="Times New Roman" w:cstheme="minorHAnsi"/>
          <w:i/>
          <w:color w:val="272727"/>
          <w:sz w:val="21"/>
          <w:szCs w:val="21"/>
          <w:lang w:eastAsia="pl-PL"/>
        </w:rPr>
        <w:t>Uchwały nr LIII/348/2023 RADY MIASTA STOCZEK ŁUKOWSKI z dnia 28 września 2023roku w sprawie przystąpienia do sporządzenia Gminnego Programu Rewitalizacji Miasta Stoczek Łukowski do 2030</w:t>
      </w:r>
      <w:r w:rsidR="0024160A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r. </w:t>
      </w:r>
      <w:r w:rsidRPr="00C703BA">
        <w:rPr>
          <w:rFonts w:cstheme="minorHAnsi"/>
        </w:rPr>
        <w:t xml:space="preserve"> w</w:t>
      </w:r>
      <w:r w:rsidR="00C32B31" w:rsidRPr="00C703BA">
        <w:rPr>
          <w:rFonts w:eastAsia="Times New Roman" w:cstheme="minorHAnsi"/>
          <w:b/>
          <w:bCs/>
          <w:color w:val="272727"/>
          <w:sz w:val="21"/>
          <w:szCs w:val="21"/>
          <w:lang w:eastAsia="pl-PL"/>
        </w:rPr>
        <w:t xml:space="preserve"> terminie </w:t>
      </w:r>
      <w:r w:rsidR="00C703BA" w:rsidRPr="00C703BA">
        <w:rPr>
          <w:rFonts w:eastAsia="Times New Roman" w:cstheme="minorHAnsi"/>
          <w:b/>
          <w:bCs/>
          <w:color w:val="272727"/>
          <w:sz w:val="21"/>
          <w:szCs w:val="21"/>
          <w:lang w:eastAsia="pl-PL"/>
        </w:rPr>
        <w:t xml:space="preserve">od 18 października 2023r. do dnia 31 października </w:t>
      </w:r>
      <w:r w:rsidRPr="00C703BA">
        <w:rPr>
          <w:rFonts w:eastAsia="Times New Roman" w:cstheme="minorHAnsi"/>
          <w:b/>
          <w:bCs/>
          <w:color w:val="272727"/>
          <w:sz w:val="21"/>
          <w:szCs w:val="21"/>
          <w:lang w:eastAsia="pl-PL"/>
        </w:rPr>
        <w:t xml:space="preserve"> 2023 r.</w:t>
      </w:r>
      <w:r w:rsidR="009D0AB5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</w:t>
      </w:r>
      <w:r w:rsidR="00AD4A8C" w:rsidRPr="00C703BA">
        <w:rPr>
          <w:rFonts w:eastAsia="Times New Roman" w:cstheme="minorHAnsi"/>
          <w:color w:val="272727"/>
          <w:sz w:val="21"/>
          <w:szCs w:val="21"/>
          <w:lang w:eastAsia="pl-PL"/>
        </w:rPr>
        <w:t>prowadzony będzie nabór propozycji przedsięwzięć rewitalizacyjnych do Gminnego Programu Rewitalizacji.</w:t>
      </w:r>
      <w:r w:rsidR="009D0AB5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</w:t>
      </w:r>
      <w:r w:rsidR="00AD4A8C" w:rsidRPr="00C703BA">
        <w:rPr>
          <w:rFonts w:eastAsia="Times New Roman" w:cstheme="minorHAnsi"/>
          <w:color w:val="272727"/>
          <w:sz w:val="21"/>
          <w:szCs w:val="21"/>
          <w:lang w:eastAsia="pl-PL"/>
        </w:rPr>
        <w:t>Celem naboru jest stworzenie Listy podstawowych i uzupełniających przedsięwzięć rewitalizacyjnych.</w:t>
      </w:r>
      <w:r w:rsidR="009D0AB5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Proponowane przedsi</w:t>
      </w:r>
      <w:r w:rsidR="001E43F7" w:rsidRPr="00C703BA">
        <w:rPr>
          <w:rFonts w:eastAsia="Times New Roman" w:cstheme="minorHAnsi"/>
          <w:color w:val="272727"/>
          <w:sz w:val="21"/>
          <w:szCs w:val="21"/>
          <w:lang w:eastAsia="pl-PL"/>
        </w:rPr>
        <w:t>ęwzięcia powinny wpisywać się w </w:t>
      </w:r>
      <w:r w:rsidR="00863D13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wyznaczone cele rewitalizacji </w:t>
      </w:r>
      <w:r w:rsidR="002C2BFE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zaprezentowane poniżej. Winny również przeciwdziałać zdiagnozowanym problemom przy uwzględnieniu stwierdzonych potencjałów.  </w:t>
      </w:r>
      <w:r w:rsidR="00863D13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</w:t>
      </w:r>
    </w:p>
    <w:p w:rsidR="0024160A" w:rsidRPr="00C703BA" w:rsidRDefault="0024160A" w:rsidP="0024160A">
      <w:pPr>
        <w:shd w:val="clear" w:color="auto" w:fill="FFFFFF"/>
        <w:spacing w:after="100" w:afterAutospacing="1" w:line="315" w:lineRule="atLeast"/>
        <w:ind w:firstLine="708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</w:p>
    <w:tbl>
      <w:tblPr>
        <w:tblStyle w:val="GridTable4Accent5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7A2660" w:rsidRPr="00C703BA" w:rsidTr="00ED2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7A2660" w:rsidRPr="00C703BA" w:rsidRDefault="007A2660" w:rsidP="001A12FA">
            <w:pPr>
              <w:contextualSpacing/>
              <w:jc w:val="center"/>
              <w:rPr>
                <w:rFonts w:cstheme="minorHAnsi"/>
              </w:rPr>
            </w:pPr>
            <w:r w:rsidRPr="00C703BA">
              <w:rPr>
                <w:rFonts w:cstheme="minorHAnsi"/>
              </w:rPr>
              <w:lastRenderedPageBreak/>
              <w:t>CEL GŁÓWNY</w:t>
            </w:r>
          </w:p>
        </w:tc>
      </w:tr>
      <w:tr w:rsidR="007A2660" w:rsidRPr="00C703BA" w:rsidTr="00ED2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:rsidR="007A2660" w:rsidRPr="00C703BA" w:rsidRDefault="006654A3" w:rsidP="0024160A">
            <w:pPr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C703BA">
              <w:rPr>
                <w:rFonts w:cstheme="minorHAnsi"/>
              </w:rPr>
              <w:t>Poprawa jakości życia mieszkańców</w:t>
            </w:r>
            <w:r w:rsidR="0024160A" w:rsidRPr="00C703BA">
              <w:rPr>
                <w:rFonts w:cstheme="minorHAnsi"/>
              </w:rPr>
              <w:t xml:space="preserve"> obszaru rewitalizacji</w:t>
            </w:r>
          </w:p>
        </w:tc>
      </w:tr>
    </w:tbl>
    <w:p w:rsidR="00C32B31" w:rsidRPr="00C703BA" w:rsidRDefault="00C32B31" w:rsidP="009C4344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</w:p>
    <w:tbl>
      <w:tblPr>
        <w:tblStyle w:val="GridTable4Accent5"/>
        <w:tblW w:w="5000" w:type="pct"/>
        <w:tblLook w:val="04A0" w:firstRow="1" w:lastRow="0" w:firstColumn="1" w:lastColumn="0" w:noHBand="0" w:noVBand="1"/>
      </w:tblPr>
      <w:tblGrid>
        <w:gridCol w:w="3444"/>
        <w:gridCol w:w="5844"/>
      </w:tblGrid>
      <w:tr w:rsidR="007A2660" w:rsidRPr="00C703BA" w:rsidTr="002416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</w:tcPr>
          <w:p w:rsidR="007A2660" w:rsidRPr="00C703BA" w:rsidRDefault="007A2660" w:rsidP="00080817">
            <w:pPr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 xml:space="preserve">Sfera oddziaływania </w:t>
            </w:r>
          </w:p>
        </w:tc>
        <w:tc>
          <w:tcPr>
            <w:tcW w:w="3146" w:type="pct"/>
          </w:tcPr>
          <w:p w:rsidR="007A2660" w:rsidRPr="00C703BA" w:rsidRDefault="007A2660" w:rsidP="000808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>Cel strategiczny</w:t>
            </w:r>
          </w:p>
        </w:tc>
      </w:tr>
      <w:tr w:rsidR="007A2660" w:rsidRPr="00C703BA" w:rsidTr="00317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vAlign w:val="center"/>
          </w:tcPr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</w:p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>Społeczna</w:t>
            </w:r>
          </w:p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</w:p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3146" w:type="pct"/>
            <w:vAlign w:val="center"/>
          </w:tcPr>
          <w:p w:rsidR="007A2660" w:rsidRPr="00C703BA" w:rsidRDefault="0024160A" w:rsidP="0024160A">
            <w:pPr>
              <w:pStyle w:val="Akapitzlist"/>
              <w:numPr>
                <w:ilvl w:val="0"/>
                <w:numId w:val="16"/>
              </w:numPr>
              <w:ind w:left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C703BA">
              <w:rPr>
                <w:rFonts w:cstheme="minorHAnsi"/>
                <w:b/>
                <w:sz w:val="20"/>
              </w:rPr>
              <w:t xml:space="preserve">Odnowa społeczna obszaru rewitalizacji </w:t>
            </w:r>
          </w:p>
        </w:tc>
      </w:tr>
      <w:tr w:rsidR="007A2660" w:rsidRPr="00C703BA" w:rsidTr="00815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vAlign w:val="center"/>
          </w:tcPr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>Gospodarcza</w:t>
            </w:r>
          </w:p>
        </w:tc>
        <w:tc>
          <w:tcPr>
            <w:tcW w:w="3146" w:type="pct"/>
            <w:vAlign w:val="center"/>
          </w:tcPr>
          <w:p w:rsidR="007A2660" w:rsidRPr="00C703BA" w:rsidRDefault="0024160A" w:rsidP="0024160A">
            <w:pPr>
              <w:pStyle w:val="Akapitzlist"/>
              <w:numPr>
                <w:ilvl w:val="0"/>
                <w:numId w:val="16"/>
              </w:numPr>
              <w:ind w:left="3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C703BA">
              <w:rPr>
                <w:rFonts w:cstheme="minorHAnsi"/>
                <w:b/>
                <w:sz w:val="20"/>
              </w:rPr>
              <w:t xml:space="preserve">Aktywny gospodarczo obszar rewitalizacji </w:t>
            </w:r>
          </w:p>
        </w:tc>
      </w:tr>
      <w:tr w:rsidR="007A2660" w:rsidRPr="00C703BA" w:rsidTr="00815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4" w:type="pct"/>
            <w:vAlign w:val="center"/>
          </w:tcPr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>Środowiskowa</w:t>
            </w:r>
          </w:p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>Techniczna</w:t>
            </w:r>
          </w:p>
          <w:p w:rsidR="007A2660" w:rsidRPr="00C703BA" w:rsidRDefault="007A2660" w:rsidP="00080817">
            <w:pPr>
              <w:jc w:val="both"/>
              <w:rPr>
                <w:rFonts w:cstheme="minorHAnsi"/>
                <w:sz w:val="20"/>
              </w:rPr>
            </w:pPr>
            <w:r w:rsidRPr="00C703BA">
              <w:rPr>
                <w:rFonts w:cstheme="minorHAnsi"/>
                <w:sz w:val="20"/>
              </w:rPr>
              <w:t xml:space="preserve">Przestrzenno-funkcjonalna </w:t>
            </w:r>
          </w:p>
        </w:tc>
        <w:tc>
          <w:tcPr>
            <w:tcW w:w="3146" w:type="pct"/>
            <w:vAlign w:val="center"/>
          </w:tcPr>
          <w:p w:rsidR="007A2660" w:rsidRPr="00C703BA" w:rsidRDefault="0024160A" w:rsidP="0024160A">
            <w:pPr>
              <w:pStyle w:val="Akapitzlist"/>
              <w:numPr>
                <w:ilvl w:val="0"/>
                <w:numId w:val="16"/>
              </w:numPr>
              <w:ind w:left="3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</w:rPr>
            </w:pPr>
            <w:r w:rsidRPr="00C703BA">
              <w:rPr>
                <w:rFonts w:cstheme="minorHAnsi"/>
                <w:b/>
                <w:sz w:val="20"/>
              </w:rPr>
              <w:t>Przestrzeń obszaru rewita</w:t>
            </w:r>
            <w:r w:rsidR="008152C8" w:rsidRPr="00C703BA">
              <w:rPr>
                <w:rFonts w:cstheme="minorHAnsi"/>
                <w:b/>
                <w:sz w:val="20"/>
              </w:rPr>
              <w:t>lizacji przyjazna mieszkańcom i </w:t>
            </w:r>
            <w:r w:rsidRPr="00C703BA">
              <w:rPr>
                <w:rFonts w:cstheme="minorHAnsi"/>
                <w:b/>
                <w:sz w:val="20"/>
              </w:rPr>
              <w:t xml:space="preserve">środowisku </w:t>
            </w:r>
          </w:p>
        </w:tc>
      </w:tr>
    </w:tbl>
    <w:p w:rsidR="007A2660" w:rsidRPr="00C703BA" w:rsidRDefault="007A2660" w:rsidP="00AD4A8C">
      <w:pPr>
        <w:shd w:val="clear" w:color="auto" w:fill="FFFFFF"/>
        <w:spacing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</w:p>
    <w:p w:rsidR="00AD4A8C" w:rsidRPr="00C703BA" w:rsidRDefault="00AD4A8C" w:rsidP="00AD4A8C">
      <w:pPr>
        <w:shd w:val="clear" w:color="auto" w:fill="FFFFFF"/>
        <w:spacing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Prosimy o wypełnienie formularza, w którym opiszą Państwo dokładny zakres proponowanego działania. Formularz adresowany jest do:</w:t>
      </w:r>
    </w:p>
    <w:p w:rsidR="00AD4A8C" w:rsidRPr="00C703BA" w:rsidRDefault="00AD4A8C" w:rsidP="00AD4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osób fizycznych,</w:t>
      </w:r>
    </w:p>
    <w:p w:rsidR="00AD4A8C" w:rsidRPr="00C703BA" w:rsidRDefault="00AD4A8C" w:rsidP="00AD4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instytucji publicznych,</w:t>
      </w:r>
    </w:p>
    <w:p w:rsidR="00AD4A8C" w:rsidRPr="00C703BA" w:rsidRDefault="00AD4A8C" w:rsidP="00AD4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organizacji pozarządowych, kół, klubów,</w:t>
      </w:r>
    </w:p>
    <w:p w:rsidR="00AD4A8C" w:rsidRPr="00C703BA" w:rsidRDefault="00AD4A8C" w:rsidP="00AD4A8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podmiotów gospodarczych prowadzących działalność na obszarze rewitalizacji.</w:t>
      </w:r>
    </w:p>
    <w:p w:rsidR="00AD4A8C" w:rsidRPr="00C703BA" w:rsidRDefault="00AD4A8C" w:rsidP="00AD4A8C">
      <w:pPr>
        <w:shd w:val="clear" w:color="auto" w:fill="FFFFFF"/>
        <w:spacing w:after="100" w:afterAutospacing="1" w:line="315" w:lineRule="atLeast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Zgłaszane przedsięwzięcia:</w:t>
      </w:r>
    </w:p>
    <w:p w:rsidR="00AD4A8C" w:rsidRPr="00C703BA" w:rsidRDefault="00AD4A8C" w:rsidP="00DF23EE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5" w:lineRule="atLeast"/>
        <w:ind w:left="567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powinny być zlokalizowane na  terenie obszaru rewitalizacji </w:t>
      </w:r>
      <w:r w:rsidR="00DF23EE" w:rsidRPr="00C703BA">
        <w:rPr>
          <w:rFonts w:eastAsia="Times New Roman" w:cstheme="minorHAnsi"/>
          <w:color w:val="272727"/>
          <w:sz w:val="21"/>
          <w:szCs w:val="21"/>
          <w:lang w:eastAsia="pl-PL"/>
        </w:rPr>
        <w:t>Miasta Stoczek Łukowski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,</w:t>
      </w:r>
    </w:p>
    <w:p w:rsidR="00AD4A8C" w:rsidRPr="00C703BA" w:rsidRDefault="00AD4A8C" w:rsidP="00DF23EE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15" w:lineRule="atLeast"/>
        <w:ind w:left="567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powinny być kompleksowe i przekrojowe -  przedsięwzięcie rew</w:t>
      </w:r>
      <w:r w:rsidR="00DF23EE" w:rsidRPr="00C703BA">
        <w:rPr>
          <w:rFonts w:eastAsia="Times New Roman" w:cstheme="minorHAnsi"/>
          <w:color w:val="272727"/>
          <w:sz w:val="21"/>
          <w:szCs w:val="21"/>
          <w:lang w:eastAsia="pl-PL"/>
        </w:rPr>
        <w:t>italizacyjne ujmuje działania w 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sposób kompleksowy tak, aby nie pominąć aspektów: społecznego, gospodarczego, środowiskowego, przestrzennego oraz technicznego, związanych z jego lokalizacją oraz oddziaływaniem na otoczenie.</w:t>
      </w:r>
    </w:p>
    <w:p w:rsidR="00AD4A8C" w:rsidRPr="00C703BA" w:rsidRDefault="00AD4A8C" w:rsidP="003177A5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Zgłoszeń można dokonywać przez złożenie wypłonionego formularza. Należy wypełnić WSZYSTKIE pola formularza. Nie ma ograniczenia co do ilości znaków w polach do wypełnienia. Pola do edycji są rozszerzalne. W razie stwierdzenia braków w formularzu lub w przypadku wątpliwości co do jego treści, Wnioskodawca może być proszony o udzielenie wyjaśnień.</w:t>
      </w:r>
    </w:p>
    <w:p w:rsidR="00AD4A8C" w:rsidRPr="00C703BA" w:rsidRDefault="00AD4A8C" w:rsidP="00C703B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Wypełn</w:t>
      </w:r>
      <w:r w:rsidR="001E43F7" w:rsidRPr="00C703BA">
        <w:rPr>
          <w:rFonts w:eastAsia="Times New Roman" w:cstheme="minorHAnsi"/>
          <w:color w:val="272727"/>
          <w:sz w:val="21"/>
          <w:szCs w:val="21"/>
          <w:lang w:eastAsia="pl-PL"/>
        </w:rPr>
        <w:t>iony formularz, w</w:t>
      </w:r>
      <w:r w:rsidR="007A2660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terminie od </w:t>
      </w:r>
      <w:r w:rsidR="00C703BA" w:rsidRPr="00C703BA">
        <w:rPr>
          <w:rFonts w:eastAsia="Times New Roman" w:cstheme="minorHAnsi"/>
          <w:b/>
          <w:color w:val="272727"/>
          <w:sz w:val="21"/>
          <w:szCs w:val="21"/>
          <w:lang w:eastAsia="pl-PL"/>
        </w:rPr>
        <w:t>18 października 2023r. do dnia 31 października 2023r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można złożyć:</w:t>
      </w:r>
    </w:p>
    <w:p w:rsidR="00C703BA" w:rsidRPr="00C703BA" w:rsidRDefault="00C703BA" w:rsidP="00C703BA">
      <w:pPr>
        <w:pStyle w:val="Akapitzlist"/>
        <w:spacing w:after="0" w:line="240" w:lineRule="auto"/>
        <w:ind w:left="708"/>
        <w:jc w:val="both"/>
        <w:rPr>
          <w:rFonts w:cstheme="minorHAnsi"/>
        </w:rPr>
      </w:pPr>
      <w:r w:rsidRPr="00C703BA">
        <w:rPr>
          <w:rFonts w:cstheme="minorHAnsi"/>
        </w:rPr>
        <w:t xml:space="preserve">1) elektronicznie –przesłanie  na adres email: </w:t>
      </w:r>
      <w:hyperlink r:id="rId10" w:history="1">
        <w:r w:rsidRPr="00C703BA">
          <w:rPr>
            <w:rStyle w:val="Hipercze"/>
            <w:rFonts w:cstheme="minorHAnsi"/>
          </w:rPr>
          <w:t>miasto@stoczek-lukowski.pl</w:t>
        </w:r>
      </w:hyperlink>
      <w:r w:rsidRPr="00C703BA">
        <w:rPr>
          <w:rFonts w:cstheme="minorHAnsi"/>
        </w:rPr>
        <w:t xml:space="preserve"> </w:t>
      </w:r>
    </w:p>
    <w:p w:rsidR="00C703BA" w:rsidRPr="00C703BA" w:rsidRDefault="00C703BA" w:rsidP="00C703BA">
      <w:pPr>
        <w:pStyle w:val="Akapitzlist"/>
        <w:spacing w:after="0" w:line="240" w:lineRule="auto"/>
        <w:ind w:left="708"/>
        <w:jc w:val="both"/>
        <w:rPr>
          <w:rFonts w:cstheme="minorHAnsi"/>
        </w:rPr>
      </w:pPr>
      <w:r w:rsidRPr="00C703BA">
        <w:rPr>
          <w:rFonts w:cstheme="minorHAnsi"/>
        </w:rPr>
        <w:t>2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papierowo przez przesłanie pocztą na adres: Urząd Miasta</w:t>
      </w:r>
      <w:r w:rsidRPr="00C703BA">
        <w:rPr>
          <w:rFonts w:cstheme="minorHAnsi"/>
        </w:rPr>
        <w:t>, Plac Tadeusza Kościuszki 1, 21-450 Stoczek Łukowski  w kopercie opisanej „REWITALIZACJA – PRZEDSIĘWZIĘCIA”,</w:t>
      </w:r>
    </w:p>
    <w:p w:rsidR="00C703BA" w:rsidRPr="00C703BA" w:rsidRDefault="00C703BA" w:rsidP="00C703BA">
      <w:pPr>
        <w:pStyle w:val="Akapitzlist"/>
        <w:spacing w:after="0" w:line="240" w:lineRule="auto"/>
        <w:ind w:left="708"/>
        <w:jc w:val="both"/>
        <w:rPr>
          <w:rFonts w:cstheme="minorHAnsi"/>
        </w:rPr>
      </w:pPr>
    </w:p>
    <w:p w:rsidR="00C703BA" w:rsidRDefault="00C703BA" w:rsidP="00C703BA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cstheme="minorHAnsi"/>
        </w:rPr>
        <w:t xml:space="preserve">3) 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papierowo poprzez złożenie w Urzędzie Miasta</w:t>
      </w:r>
      <w:r w:rsidRPr="00C703BA">
        <w:rPr>
          <w:rFonts w:cstheme="minorHAnsi"/>
        </w:rPr>
        <w:t xml:space="preserve">  Plac Tadeusza Kościuszki 1, 21-450 Stoczek Łukowski </w:t>
      </w:r>
      <w:proofErr w:type="spellStart"/>
      <w:r w:rsidRPr="00C703BA">
        <w:rPr>
          <w:rFonts w:cstheme="minorHAnsi"/>
        </w:rPr>
        <w:t>pok</w:t>
      </w:r>
      <w:proofErr w:type="spellEnd"/>
      <w:r w:rsidRPr="00C703BA">
        <w:rPr>
          <w:rFonts w:cstheme="minorHAnsi"/>
        </w:rPr>
        <w:t xml:space="preserve"> 211 w godzinach pracy urzędu, w kopercie opisanej „REWITALIZACJA – PRZEDSIĘWZIĘCIA”.</w:t>
      </w: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</w:t>
      </w:r>
    </w:p>
    <w:p w:rsidR="00F65F88" w:rsidRPr="00C703BA" w:rsidRDefault="00F65F88" w:rsidP="00C703BA">
      <w:pPr>
        <w:pStyle w:val="Akapitzlist"/>
        <w:spacing w:after="0" w:line="240" w:lineRule="auto"/>
        <w:ind w:left="708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bookmarkStart w:id="0" w:name="_GoBack"/>
      <w:bookmarkEnd w:id="0"/>
    </w:p>
    <w:p w:rsidR="00C703BA" w:rsidRPr="00C703BA" w:rsidRDefault="00C703BA" w:rsidP="00C703BA">
      <w:pPr>
        <w:pStyle w:val="Akapitzlist"/>
        <w:spacing w:after="0" w:line="271" w:lineRule="auto"/>
        <w:ind w:left="708"/>
        <w:jc w:val="both"/>
        <w:rPr>
          <w:rFonts w:cstheme="minorHAnsi"/>
        </w:rPr>
      </w:pPr>
      <w:proofErr w:type="spellStart"/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ww</w:t>
      </w:r>
      <w:proofErr w:type="spellEnd"/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wyznaczonym wyżej terminie</w:t>
      </w:r>
    </w:p>
    <w:p w:rsidR="00C703BA" w:rsidRDefault="00C703BA" w:rsidP="003177A5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b/>
          <w:bCs/>
          <w:color w:val="272727"/>
          <w:sz w:val="21"/>
          <w:szCs w:val="21"/>
          <w:lang w:eastAsia="pl-PL"/>
        </w:rPr>
      </w:pPr>
    </w:p>
    <w:p w:rsidR="00AD4A8C" w:rsidRPr="00C703BA" w:rsidRDefault="00AD4A8C" w:rsidP="003177A5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b/>
          <w:bCs/>
          <w:color w:val="272727"/>
          <w:sz w:val="21"/>
          <w:szCs w:val="21"/>
          <w:lang w:eastAsia="pl-PL"/>
        </w:rPr>
        <w:t>Uwaga!</w:t>
      </w:r>
    </w:p>
    <w:p w:rsidR="00AD4A8C" w:rsidRPr="00C703BA" w:rsidRDefault="00AD4A8C" w:rsidP="003177A5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>Złożone formularze poddawane będą weryfikacji. Umieszczenie projektu na liście przedsięwzięć rewitalizacyjnych w Gminnym Programie Rewitalizacji nie jest równoznaczne z aplikowaniem o środki unijne.</w:t>
      </w:r>
    </w:p>
    <w:p w:rsidR="00AD4A8C" w:rsidRDefault="00AD4A8C" w:rsidP="003177A5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Liczymy na Państwa zaangażowanie i zachęcamy do współtworzenia Gminnego Programu Rewitalizacji </w:t>
      </w:r>
      <w:r w:rsidR="007A2660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</w:t>
      </w:r>
      <w:r w:rsidR="001275E4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</w:t>
      </w:r>
      <w:r w:rsidR="00152EF0" w:rsidRPr="00C703BA">
        <w:rPr>
          <w:rFonts w:eastAsia="Times New Roman" w:cstheme="minorHAnsi"/>
          <w:color w:val="272727"/>
          <w:sz w:val="21"/>
          <w:szCs w:val="21"/>
          <w:lang w:eastAsia="pl-PL"/>
        </w:rPr>
        <w:t>Miasta Stoczek Łukowski</w:t>
      </w:r>
      <w:r w:rsidR="00706062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 do 2030 r</w:t>
      </w:r>
      <w:r w:rsidR="001275E4" w:rsidRPr="00C703BA">
        <w:rPr>
          <w:rFonts w:eastAsia="Times New Roman" w:cstheme="minorHAnsi"/>
          <w:color w:val="272727"/>
          <w:sz w:val="21"/>
          <w:szCs w:val="21"/>
          <w:lang w:eastAsia="pl-PL"/>
        </w:rPr>
        <w:t xml:space="preserve">. </w:t>
      </w:r>
    </w:p>
    <w:p w:rsidR="00C703BA" w:rsidRPr="00C703BA" w:rsidRDefault="00C703BA" w:rsidP="00C703BA">
      <w:pPr>
        <w:shd w:val="clear" w:color="auto" w:fill="FFFFFF"/>
        <w:spacing w:after="100" w:afterAutospacing="1" w:line="315" w:lineRule="atLeast"/>
        <w:ind w:left="4248"/>
        <w:jc w:val="center"/>
        <w:rPr>
          <w:rFonts w:eastAsia="Times New Roman" w:cstheme="minorHAnsi"/>
          <w:b/>
          <w:i/>
          <w:color w:val="272727"/>
          <w:sz w:val="21"/>
          <w:szCs w:val="21"/>
          <w:lang w:eastAsia="pl-PL"/>
        </w:rPr>
      </w:pPr>
    </w:p>
    <w:p w:rsidR="00C703BA" w:rsidRPr="00C703BA" w:rsidRDefault="00C703BA" w:rsidP="00C703BA">
      <w:pPr>
        <w:shd w:val="clear" w:color="auto" w:fill="FFFFFF"/>
        <w:spacing w:after="100" w:afterAutospacing="1" w:line="315" w:lineRule="atLeast"/>
        <w:ind w:left="4248"/>
        <w:jc w:val="center"/>
        <w:rPr>
          <w:rFonts w:eastAsia="Times New Roman" w:cstheme="minorHAnsi"/>
          <w:b/>
          <w:i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b/>
          <w:i/>
          <w:color w:val="272727"/>
          <w:sz w:val="21"/>
          <w:szCs w:val="21"/>
          <w:lang w:eastAsia="pl-PL"/>
        </w:rPr>
        <w:t>Burmistrz Miasta Stoczek Łukowski</w:t>
      </w:r>
    </w:p>
    <w:p w:rsidR="00C703BA" w:rsidRPr="00C703BA" w:rsidRDefault="00C703BA" w:rsidP="00C703BA">
      <w:pPr>
        <w:shd w:val="clear" w:color="auto" w:fill="FFFFFF"/>
        <w:spacing w:after="100" w:afterAutospacing="1" w:line="315" w:lineRule="atLeast"/>
        <w:ind w:left="4248"/>
        <w:jc w:val="center"/>
        <w:rPr>
          <w:rFonts w:eastAsia="Times New Roman" w:cstheme="minorHAnsi"/>
          <w:b/>
          <w:i/>
          <w:color w:val="272727"/>
          <w:sz w:val="21"/>
          <w:szCs w:val="21"/>
          <w:lang w:eastAsia="pl-PL"/>
        </w:rPr>
      </w:pPr>
      <w:r w:rsidRPr="00C703BA">
        <w:rPr>
          <w:rFonts w:eastAsia="Times New Roman" w:cstheme="minorHAnsi"/>
          <w:b/>
          <w:i/>
          <w:color w:val="272727"/>
          <w:sz w:val="21"/>
          <w:szCs w:val="21"/>
          <w:lang w:eastAsia="pl-PL"/>
        </w:rPr>
        <w:t>/-/Marcin Sentkiewicz</w:t>
      </w:r>
    </w:p>
    <w:p w:rsidR="00EF0893" w:rsidRPr="00C703BA" w:rsidRDefault="00EF0893" w:rsidP="00C703BA">
      <w:pPr>
        <w:shd w:val="clear" w:color="auto" w:fill="FFFFFF"/>
        <w:spacing w:after="100" w:afterAutospacing="1" w:line="315" w:lineRule="atLeast"/>
        <w:jc w:val="both"/>
        <w:rPr>
          <w:rFonts w:eastAsia="Times New Roman" w:cstheme="minorHAnsi"/>
          <w:color w:val="272727"/>
          <w:sz w:val="21"/>
          <w:szCs w:val="21"/>
          <w:lang w:eastAsia="pl-PL"/>
        </w:rPr>
      </w:pPr>
    </w:p>
    <w:sectPr w:rsidR="00EF0893" w:rsidRPr="00C703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76" w:rsidRDefault="00B44276" w:rsidP="00C703BA">
      <w:pPr>
        <w:spacing w:after="0" w:line="240" w:lineRule="auto"/>
      </w:pPr>
      <w:r>
        <w:separator/>
      </w:r>
    </w:p>
  </w:endnote>
  <w:endnote w:type="continuationSeparator" w:id="0">
    <w:p w:rsidR="00B44276" w:rsidRDefault="00B44276" w:rsidP="00C7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931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703BA" w:rsidRPr="00C703BA" w:rsidRDefault="00C703BA">
        <w:pPr>
          <w:pStyle w:val="Stopka"/>
          <w:jc w:val="center"/>
          <w:rPr>
            <w:sz w:val="18"/>
            <w:szCs w:val="18"/>
          </w:rPr>
        </w:pPr>
        <w:r w:rsidRPr="00C703BA">
          <w:rPr>
            <w:sz w:val="18"/>
            <w:szCs w:val="18"/>
          </w:rPr>
          <w:fldChar w:fldCharType="begin"/>
        </w:r>
        <w:r w:rsidRPr="00C703BA">
          <w:rPr>
            <w:sz w:val="18"/>
            <w:szCs w:val="18"/>
          </w:rPr>
          <w:instrText>PAGE   \* MERGEFORMAT</w:instrText>
        </w:r>
        <w:r w:rsidRPr="00C703BA">
          <w:rPr>
            <w:sz w:val="18"/>
            <w:szCs w:val="18"/>
          </w:rPr>
          <w:fldChar w:fldCharType="separate"/>
        </w:r>
        <w:r w:rsidR="00F65F88">
          <w:rPr>
            <w:noProof/>
            <w:sz w:val="18"/>
            <w:szCs w:val="18"/>
          </w:rPr>
          <w:t>6</w:t>
        </w:r>
        <w:r w:rsidRPr="00C703BA">
          <w:rPr>
            <w:sz w:val="18"/>
            <w:szCs w:val="18"/>
          </w:rPr>
          <w:fldChar w:fldCharType="end"/>
        </w:r>
      </w:p>
    </w:sdtContent>
  </w:sdt>
  <w:p w:rsidR="00C703BA" w:rsidRDefault="00C70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76" w:rsidRDefault="00B44276" w:rsidP="00C703BA">
      <w:pPr>
        <w:spacing w:after="0" w:line="240" w:lineRule="auto"/>
      </w:pPr>
      <w:r>
        <w:separator/>
      </w:r>
    </w:p>
  </w:footnote>
  <w:footnote w:type="continuationSeparator" w:id="0">
    <w:p w:rsidR="00B44276" w:rsidRDefault="00B44276" w:rsidP="00C7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534"/>
    <w:multiLevelType w:val="hybridMultilevel"/>
    <w:tmpl w:val="3D925568"/>
    <w:lvl w:ilvl="0" w:tplc="D8C46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4E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548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3A3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CC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ECC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68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2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A0D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A52601"/>
    <w:multiLevelType w:val="multilevel"/>
    <w:tmpl w:val="AA0AF3E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  <w:rPr>
        <w:rFonts w:ascii="Arial" w:eastAsia="Calibri" w:hAnsi="Arial" w:cs="Arial"/>
      </w:r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6394B"/>
    <w:multiLevelType w:val="hybridMultilevel"/>
    <w:tmpl w:val="7B446854"/>
    <w:lvl w:ilvl="0" w:tplc="C7A81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A83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90A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A1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5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A9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82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1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D6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470B85"/>
    <w:multiLevelType w:val="hybridMultilevel"/>
    <w:tmpl w:val="37588936"/>
    <w:lvl w:ilvl="0" w:tplc="533C8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503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066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0B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16C1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6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5C8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64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0975C3"/>
    <w:multiLevelType w:val="multilevel"/>
    <w:tmpl w:val="088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22B1E"/>
    <w:multiLevelType w:val="hybridMultilevel"/>
    <w:tmpl w:val="B46AD39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81507"/>
    <w:multiLevelType w:val="hybridMultilevel"/>
    <w:tmpl w:val="47F63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37E06"/>
    <w:multiLevelType w:val="hybridMultilevel"/>
    <w:tmpl w:val="58E2409A"/>
    <w:lvl w:ilvl="0" w:tplc="6AF832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634A57"/>
    <w:multiLevelType w:val="hybridMultilevel"/>
    <w:tmpl w:val="E0EA27E2"/>
    <w:lvl w:ilvl="0" w:tplc="8CCE3F2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53B54"/>
    <w:multiLevelType w:val="multilevel"/>
    <w:tmpl w:val="83F2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27A05"/>
    <w:multiLevelType w:val="hybridMultilevel"/>
    <w:tmpl w:val="56A6BA02"/>
    <w:lvl w:ilvl="0" w:tplc="C99CE4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619B9"/>
    <w:multiLevelType w:val="hybridMultilevel"/>
    <w:tmpl w:val="56C40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A0DA1"/>
    <w:multiLevelType w:val="hybridMultilevel"/>
    <w:tmpl w:val="15EC6E5C"/>
    <w:lvl w:ilvl="0" w:tplc="1A662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CF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90F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A6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04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66A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460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83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A1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9C062DB"/>
    <w:multiLevelType w:val="multilevel"/>
    <w:tmpl w:val="7252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141D1"/>
    <w:multiLevelType w:val="multilevel"/>
    <w:tmpl w:val="795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840DA"/>
    <w:multiLevelType w:val="hybridMultilevel"/>
    <w:tmpl w:val="59A69C76"/>
    <w:lvl w:ilvl="0" w:tplc="EFB48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8C"/>
    <w:rsid w:val="00070F77"/>
    <w:rsid w:val="00080817"/>
    <w:rsid w:val="001275E4"/>
    <w:rsid w:val="00134851"/>
    <w:rsid w:val="00152EF0"/>
    <w:rsid w:val="001869D7"/>
    <w:rsid w:val="001E43F7"/>
    <w:rsid w:val="00224942"/>
    <w:rsid w:val="0024160A"/>
    <w:rsid w:val="002C2BFE"/>
    <w:rsid w:val="002C59CA"/>
    <w:rsid w:val="00306576"/>
    <w:rsid w:val="003177A5"/>
    <w:rsid w:val="0043617F"/>
    <w:rsid w:val="004A6653"/>
    <w:rsid w:val="004C5CB6"/>
    <w:rsid w:val="004E2F43"/>
    <w:rsid w:val="00526B1C"/>
    <w:rsid w:val="00574385"/>
    <w:rsid w:val="006654A3"/>
    <w:rsid w:val="006908EF"/>
    <w:rsid w:val="00706062"/>
    <w:rsid w:val="00734556"/>
    <w:rsid w:val="007A2660"/>
    <w:rsid w:val="007A67AC"/>
    <w:rsid w:val="008152C8"/>
    <w:rsid w:val="00863D13"/>
    <w:rsid w:val="008A0A41"/>
    <w:rsid w:val="00905371"/>
    <w:rsid w:val="0091154A"/>
    <w:rsid w:val="00953E95"/>
    <w:rsid w:val="00957E1C"/>
    <w:rsid w:val="009663F7"/>
    <w:rsid w:val="009A16DB"/>
    <w:rsid w:val="009C4344"/>
    <w:rsid w:val="009D0AB5"/>
    <w:rsid w:val="009F3E25"/>
    <w:rsid w:val="00AD4A8C"/>
    <w:rsid w:val="00B44276"/>
    <w:rsid w:val="00B50FCA"/>
    <w:rsid w:val="00C15E2D"/>
    <w:rsid w:val="00C32B31"/>
    <w:rsid w:val="00C4770B"/>
    <w:rsid w:val="00C703BA"/>
    <w:rsid w:val="00CA1678"/>
    <w:rsid w:val="00CA5FC7"/>
    <w:rsid w:val="00D06510"/>
    <w:rsid w:val="00D8092A"/>
    <w:rsid w:val="00DF20A3"/>
    <w:rsid w:val="00DF23EE"/>
    <w:rsid w:val="00E7671B"/>
    <w:rsid w:val="00ED2805"/>
    <w:rsid w:val="00ED34ED"/>
    <w:rsid w:val="00EF0893"/>
    <w:rsid w:val="00F65F88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4A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AD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4A8C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B5"/>
    <w:rPr>
      <w:b/>
      <w:bCs/>
      <w:smallCaps/>
      <w:color w:val="5B9BD5" w:themeColor="accent1"/>
      <w:spacing w:val="5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080817"/>
    <w:pPr>
      <w:ind w:left="720"/>
      <w:contextualSpacing/>
    </w:pPr>
  </w:style>
  <w:style w:type="table" w:styleId="Tabela-Siatka">
    <w:name w:val="Table Grid"/>
    <w:basedOn w:val="Standardowy"/>
    <w:uiPriority w:val="39"/>
    <w:rsid w:val="0008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0808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qFormat/>
    <w:rsid w:val="009A16DB"/>
    <w:pPr>
      <w:suppressAutoHyphens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table" w:customStyle="1" w:styleId="GridTable4Accent2">
    <w:name w:val="Grid Table 4 Accent 2"/>
    <w:basedOn w:val="Standardowy"/>
    <w:uiPriority w:val="49"/>
    <w:rsid w:val="007A266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706062"/>
  </w:style>
  <w:style w:type="table" w:customStyle="1" w:styleId="GridTable4Accent6">
    <w:name w:val="Grid Table 4 Accent 6"/>
    <w:basedOn w:val="Standardowy"/>
    <w:uiPriority w:val="49"/>
    <w:rsid w:val="00706062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8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BA"/>
  </w:style>
  <w:style w:type="paragraph" w:styleId="Stopka">
    <w:name w:val="footer"/>
    <w:basedOn w:val="Normalny"/>
    <w:link w:val="StopkaZnak"/>
    <w:uiPriority w:val="99"/>
    <w:unhideWhenUsed/>
    <w:rsid w:val="00C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D4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4A8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">
    <w:name w:val="lead"/>
    <w:basedOn w:val="Normalny"/>
    <w:rsid w:val="00AD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4A8C"/>
    <w:rPr>
      <w:color w:val="0000FF"/>
      <w:u w:val="single"/>
    </w:rPr>
  </w:style>
  <w:style w:type="character" w:styleId="Odwoanieintensywne">
    <w:name w:val="Intense Reference"/>
    <w:basedOn w:val="Domylnaczcionkaakapitu"/>
    <w:uiPriority w:val="32"/>
    <w:qFormat/>
    <w:rsid w:val="009D0AB5"/>
    <w:rPr>
      <w:b/>
      <w:bCs/>
      <w:smallCaps/>
      <w:color w:val="5B9BD5" w:themeColor="accent1"/>
      <w:spacing w:val="5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,L"/>
    <w:basedOn w:val="Normalny"/>
    <w:link w:val="AkapitzlistZnak"/>
    <w:uiPriority w:val="34"/>
    <w:qFormat/>
    <w:rsid w:val="00080817"/>
    <w:pPr>
      <w:ind w:left="720"/>
      <w:contextualSpacing/>
    </w:pPr>
  </w:style>
  <w:style w:type="table" w:styleId="Tabela-Siatka">
    <w:name w:val="Table Grid"/>
    <w:basedOn w:val="Standardowy"/>
    <w:uiPriority w:val="39"/>
    <w:rsid w:val="0008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Standardowy"/>
    <w:uiPriority w:val="49"/>
    <w:rsid w:val="0008081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qFormat/>
    <w:rsid w:val="009A16DB"/>
    <w:pPr>
      <w:suppressAutoHyphens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table" w:customStyle="1" w:styleId="GridTable4Accent2">
    <w:name w:val="Grid Table 4 Accent 2"/>
    <w:basedOn w:val="Standardowy"/>
    <w:uiPriority w:val="49"/>
    <w:rsid w:val="007A2660"/>
    <w:pPr>
      <w:spacing w:after="0" w:line="240" w:lineRule="auto"/>
    </w:pPr>
    <w:rPr>
      <w:kern w:val="2"/>
      <w14:ligatures w14:val="standardContextu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basedOn w:val="Domylnaczcionkaakapitu"/>
    <w:link w:val="Akapitzlist"/>
    <w:uiPriority w:val="34"/>
    <w:qFormat/>
    <w:rsid w:val="00706062"/>
  </w:style>
  <w:style w:type="table" w:customStyle="1" w:styleId="GridTable4Accent6">
    <w:name w:val="Grid Table 4 Accent 6"/>
    <w:basedOn w:val="Standardowy"/>
    <w:uiPriority w:val="49"/>
    <w:rsid w:val="00706062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D28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8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8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8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8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8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BA"/>
  </w:style>
  <w:style w:type="paragraph" w:styleId="Stopka">
    <w:name w:val="footer"/>
    <w:basedOn w:val="Normalny"/>
    <w:link w:val="StopkaZnak"/>
    <w:uiPriority w:val="99"/>
    <w:unhideWhenUsed/>
    <w:rsid w:val="00C70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9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4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6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9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asto@stoczek-lukows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2159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FLIS</dc:creator>
  <cp:lastModifiedBy>Danuta Pulik</cp:lastModifiedBy>
  <cp:revision>4</cp:revision>
  <dcterms:created xsi:type="dcterms:W3CDTF">2023-10-18T10:30:00Z</dcterms:created>
  <dcterms:modified xsi:type="dcterms:W3CDTF">2023-10-18T10:38:00Z</dcterms:modified>
</cp:coreProperties>
</file>